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bookmarkStart w:id="0" w:name="_GoBack"/>
      <w:bookmarkEnd w:id="0"/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tkanek łącznych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Tkanki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wymienia rodzaje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wykazuje związek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tkanki nerwowej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rozpoznaje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tkankę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nerwową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 na podstawie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 tej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krążkopławy i koralowce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tasiemcem uzbrojonym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nieuzbrojonym oraz zasady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tasiemca uzbrojonego i nieuzbrojonego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pasożytniczego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żywiciel ostateczny, żywiciel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tryb życia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parzydełkowców</w:t>
            </w:r>
          </w:p>
        </w:tc>
      </w:tr>
      <w:tr w:rsidR="005864C5" w:rsidRPr="00F66086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glistą, owsikiem 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włośniem</w:t>
            </w:r>
            <w:proofErr w:type="spellEnd"/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owsik, włosień) w organizmie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 a środowiskiem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5864C5" w:rsidRPr="00F66086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(owady pożyteczne i owady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 i rodzaju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 z przeobrażeniem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 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zamieszkiwanych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mięczakom opanowanie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ślimaków: poruszanie się,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ślimaków,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uwzględnia kształt nogi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obecność muszli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małżom i głowonogom przystosowanie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głowonogów, uwzględnia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małży lub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 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się, 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małży, głowonogów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głowonogom aktywne polowanie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5864C5" w:rsidRPr="00F66086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i jedność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5864C5" w:rsidRPr="00F66086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5864C5" w:rsidRPr="00F66086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5864C5" w:rsidRPr="00F66086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Różnorodność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pozytywnie i negatywnie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rozwój gadów od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 z przystosowaniem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5864C5" w:rsidRPr="00F66086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budową dzioba a rodzajem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grzebieniowych,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bezgrzebieniowych</w:t>
            </w:r>
            <w:proofErr w:type="spellEnd"/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zakwalifikowanie organizmu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wyróżnia różne rodzaje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zębów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5864C5" w:rsidRPr="00F66086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28. Posumowanie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F7" w:rsidRDefault="00E933F7" w:rsidP="00EA39C6">
      <w:pPr>
        <w:spacing w:after="0" w:line="240" w:lineRule="auto"/>
      </w:pPr>
      <w:r>
        <w:separator/>
      </w:r>
    </w:p>
  </w:endnote>
  <w:endnote w:type="continuationSeparator" w:id="0">
    <w:p w:rsidR="00E933F7" w:rsidRDefault="00E933F7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927B68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27B68">
      <w:rPr>
        <w:b/>
        <w:noProof/>
        <w:color w:val="003892"/>
      </w:rPr>
      <w:pict>
        <v:line id="Łącznik prostoliniowy 3" o:spid="_x0000_s4099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  <w:r w:rsidR="00E12CCD" w:rsidRPr="009E0F62">
      <w:rPr>
        <w:b/>
        <w:color w:val="003892"/>
      </w:rPr>
      <w:t>AUTORZY:</w:t>
    </w:r>
    <w:r w:rsidR="00E12CCD" w:rsidRPr="00285D6F">
      <w:rPr>
        <w:color w:val="003892"/>
      </w:rPr>
      <w:t xml:space="preserve"> </w:t>
    </w:r>
    <w:r w:rsidR="00E12CCD" w:rsidRPr="00565D2F">
      <w:t>Jastrzębska Ewa, Kłos Ewa, Kofta Wawrzyniec</w:t>
    </w:r>
    <w:r w:rsidR="00E12CCD">
      <w:t>,</w:t>
    </w:r>
    <w:r w:rsidR="00E12CCD" w:rsidRPr="00565D2F">
      <w:t xml:space="preserve"> Pyłka-Gutowska Ewa</w:t>
    </w:r>
  </w:p>
  <w:p w:rsidR="00E12CCD" w:rsidRDefault="00927B68" w:rsidP="00EA39C6">
    <w:pPr>
      <w:pStyle w:val="Stopka"/>
      <w:tabs>
        <w:tab w:val="clear" w:pos="9072"/>
        <w:tab w:val="right" w:pos="9639"/>
      </w:tabs>
      <w:ind w:left="-567" w:right="1"/>
    </w:pPr>
    <w:r w:rsidRPr="00927B68">
      <w:rPr>
        <w:b/>
        <w:noProof/>
        <w:color w:val="003892"/>
      </w:rPr>
      <w:pict>
        <v:line id="Łącznik prostoliniowy 5" o:spid="_x0000_s4098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12CCD" w:rsidRDefault="00927B68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12CCD" w:rsidRDefault="00E12CCD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2019</w:t>
                </w:r>
              </w:p>
            </w:txbxContent>
          </v:textbox>
          <w10:wrap anchorx="page" anchory="page"/>
        </v:shape>
      </w:pict>
    </w:r>
    <w:r w:rsidR="00E12CCD">
      <w:rPr>
        <w:noProof/>
      </w:rPr>
      <w:drawing>
        <wp:inline distT="0" distB="0" distL="0" distR="0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  <w:t xml:space="preserve">    </w:t>
    </w:r>
    <w:r w:rsidR="00E12CCD">
      <w:tab/>
    </w:r>
    <w:r w:rsidR="00E12CCD">
      <w:tab/>
    </w:r>
    <w:r w:rsidR="00E12CCD">
      <w:tab/>
    </w:r>
    <w:r w:rsidR="00E12CCD">
      <w:tab/>
      <w:t xml:space="preserve"> </w:t>
    </w:r>
    <w:r w:rsidR="00E12CCD">
      <w:tab/>
      <w:t xml:space="preserve"> </w:t>
    </w:r>
    <w:r w:rsidR="00E12CCD">
      <w:rPr>
        <w:noProof/>
      </w:rPr>
      <w:t xml:space="preserve">           </w:t>
    </w:r>
  </w:p>
  <w:p w:rsidR="00E12CCD" w:rsidRDefault="00927B68" w:rsidP="00EA39C6">
    <w:pPr>
      <w:pStyle w:val="Stopka"/>
      <w:ind w:left="-1417"/>
      <w:jc w:val="center"/>
    </w:pPr>
    <w:r>
      <w:fldChar w:fldCharType="begin"/>
    </w:r>
    <w:r w:rsidR="00E12CCD">
      <w:instrText>PAGE   \* MERGEFORMAT</w:instrText>
    </w:r>
    <w:r>
      <w:fldChar w:fldCharType="separate"/>
    </w:r>
    <w:r w:rsidR="00C8582A">
      <w:rPr>
        <w:noProof/>
      </w:rPr>
      <w:t>12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F7" w:rsidRDefault="00E933F7" w:rsidP="00EA39C6">
      <w:pPr>
        <w:spacing w:after="0" w:line="240" w:lineRule="auto"/>
      </w:pPr>
      <w:r>
        <w:separator/>
      </w:r>
    </w:p>
  </w:footnote>
  <w:footnote w:type="continuationSeparator" w:id="0">
    <w:p w:rsidR="00E933F7" w:rsidRDefault="00E933F7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12CCD" w:rsidRDefault="00E12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045F72"/>
    <w:rsid w:val="00222C0F"/>
    <w:rsid w:val="002C52D0"/>
    <w:rsid w:val="002E120F"/>
    <w:rsid w:val="002E6BED"/>
    <w:rsid w:val="00342774"/>
    <w:rsid w:val="00381A0C"/>
    <w:rsid w:val="005864C5"/>
    <w:rsid w:val="005C2D94"/>
    <w:rsid w:val="00617A17"/>
    <w:rsid w:val="0063690C"/>
    <w:rsid w:val="00770DD7"/>
    <w:rsid w:val="00927B68"/>
    <w:rsid w:val="00943F44"/>
    <w:rsid w:val="00A14CFF"/>
    <w:rsid w:val="00A227F2"/>
    <w:rsid w:val="00AD60DC"/>
    <w:rsid w:val="00C8582A"/>
    <w:rsid w:val="00D503CC"/>
    <w:rsid w:val="00E12CCD"/>
    <w:rsid w:val="00E274A0"/>
    <w:rsid w:val="00E933F7"/>
    <w:rsid w:val="00E93787"/>
    <w:rsid w:val="00EA39C6"/>
    <w:rsid w:val="00F64DFC"/>
    <w:rsid w:val="00F66086"/>
    <w:rsid w:val="00F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27B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927B68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927B68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927B68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927B68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927B68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927B68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927B68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927B68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927B68"/>
    <w:rPr>
      <w:b/>
      <w:bCs/>
    </w:rPr>
  </w:style>
  <w:style w:type="character" w:customStyle="1" w:styleId="BoldCondensed">
    <w:name w:val="BoldCondensed"/>
    <w:uiPriority w:val="99"/>
    <w:rsid w:val="00927B68"/>
    <w:rPr>
      <w:b/>
      <w:bCs/>
    </w:rPr>
  </w:style>
  <w:style w:type="character" w:customStyle="1" w:styleId="boldasia">
    <w:name w:val="bold (asia)"/>
    <w:uiPriority w:val="99"/>
    <w:rsid w:val="00927B68"/>
    <w:rPr>
      <w:b/>
      <w:bCs/>
    </w:rPr>
  </w:style>
  <w:style w:type="character" w:customStyle="1" w:styleId="Indeksdolny">
    <w:name w:val="Indeks dolny"/>
    <w:uiPriority w:val="99"/>
    <w:rsid w:val="00927B68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927B68"/>
    <w:rPr>
      <w:u w:val="none"/>
    </w:rPr>
  </w:style>
  <w:style w:type="character" w:customStyle="1" w:styleId="kropaniebieska">
    <w:name w:val="kropa niebieska"/>
    <w:uiPriority w:val="99"/>
    <w:rsid w:val="00927B68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9905-E9F6-40FB-B8E5-BCE130D9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User</cp:lastModifiedBy>
  <cp:revision>2</cp:revision>
  <dcterms:created xsi:type="dcterms:W3CDTF">2022-04-04T10:39:00Z</dcterms:created>
  <dcterms:modified xsi:type="dcterms:W3CDTF">2022-04-04T10:39:00Z</dcterms:modified>
</cp:coreProperties>
</file>